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</w:t>
      </w:r>
      <w:r w:rsidR="002024B4">
        <w:rPr>
          <w:rFonts w:ascii="Tahoma" w:eastAsia="MS Mincho" w:hAnsi="Tahoma" w:cs="Tahoma"/>
          <w:b/>
          <w:sz w:val="20"/>
          <w:szCs w:val="20"/>
          <w:u w:val="single"/>
        </w:rPr>
        <w:t>10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C8695F">
        <w:rPr>
          <w:rFonts w:ascii="Tahoma" w:hAnsi="Tahoma" w:cs="Tahoma"/>
          <w:b/>
          <w:sz w:val="20"/>
          <w:szCs w:val="20"/>
        </w:rPr>
        <w:t>MODERN INFORMATICA</w:t>
      </w:r>
      <w:r w:rsidR="00C86A0E">
        <w:rPr>
          <w:rFonts w:ascii="Tahoma" w:hAnsi="Tahoma" w:cs="Tahoma"/>
          <w:b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tendo por objeto </w:t>
      </w:r>
      <w:r w:rsidR="00465265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sz w:val="20"/>
          <w:szCs w:val="20"/>
        </w:rPr>
        <w:t xml:space="preserve">contratação de empresa especializada </w:t>
      </w:r>
      <w:r w:rsidR="002F5771">
        <w:rPr>
          <w:rFonts w:ascii="Tahoma" w:hAnsi="Tahoma" w:cs="Tahoma"/>
          <w:sz w:val="20"/>
          <w:szCs w:val="20"/>
        </w:rPr>
        <w:t xml:space="preserve">na prestação de serviços de </w:t>
      </w:r>
      <w:r w:rsidR="00C8695F">
        <w:rPr>
          <w:rFonts w:ascii="Tahoma" w:hAnsi="Tahoma" w:cs="Tahoma"/>
          <w:sz w:val="20"/>
          <w:szCs w:val="20"/>
        </w:rPr>
        <w:t>manutenção dos computadores utilizados pela administração municipal.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C8695F" w:rsidRDefault="00E22AE1" w:rsidP="00C8695F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</w:t>
      </w:r>
      <w:r w:rsidR="00465265" w:rsidRPr="00465265">
        <w:rPr>
          <w:rFonts w:ascii="Tahoma" w:hAnsi="Tahoma" w:cs="Tahoma"/>
          <w:sz w:val="20"/>
          <w:szCs w:val="20"/>
        </w:rPr>
        <w:t>Empresa</w:t>
      </w:r>
      <w:r w:rsidR="00465265">
        <w:rPr>
          <w:rFonts w:ascii="Tahoma" w:hAnsi="Tahoma" w:cs="Tahoma"/>
          <w:b/>
          <w:sz w:val="20"/>
          <w:szCs w:val="20"/>
        </w:rPr>
        <w:t xml:space="preserve"> </w:t>
      </w:r>
      <w:r w:rsidR="002024B4">
        <w:rPr>
          <w:rFonts w:ascii="Tahoma" w:hAnsi="Tahoma" w:cs="Tahoma"/>
          <w:b/>
          <w:sz w:val="20"/>
          <w:szCs w:val="20"/>
        </w:rPr>
        <w:t>MODERN INFORMATICA</w:t>
      </w:r>
      <w:r w:rsidR="002F5771">
        <w:rPr>
          <w:rFonts w:ascii="Tahoma" w:hAnsi="Tahoma" w:cs="Tahoma"/>
          <w:b/>
          <w:sz w:val="20"/>
          <w:szCs w:val="20"/>
        </w:rPr>
        <w:t>,</w:t>
      </w:r>
      <w:r w:rsidR="002F5771" w:rsidRPr="00051C92">
        <w:rPr>
          <w:rFonts w:ascii="Tahoma" w:hAnsi="Tahoma" w:cs="Tahoma"/>
          <w:sz w:val="20"/>
          <w:szCs w:val="20"/>
        </w:rPr>
        <w:t xml:space="preserve"> tendo</w:t>
      </w:r>
      <w:r w:rsidRPr="00051C92">
        <w:rPr>
          <w:rFonts w:ascii="Tahoma" w:hAnsi="Tahoma" w:cs="Tahoma"/>
          <w:sz w:val="20"/>
          <w:szCs w:val="20"/>
        </w:rPr>
        <w:t>,</w:t>
      </w:r>
      <w:r w:rsidR="00C86A0E">
        <w:rPr>
          <w:rFonts w:ascii="Tahoma" w:hAnsi="Tahoma" w:cs="Tahoma"/>
          <w:sz w:val="20"/>
          <w:szCs w:val="20"/>
        </w:rPr>
        <w:t xml:space="preserve">  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 w:rsidR="00C86A0E">
        <w:rPr>
          <w:rFonts w:ascii="Tahoma" w:hAnsi="Tahoma" w:cs="Tahoma"/>
          <w:sz w:val="20"/>
          <w:szCs w:val="20"/>
        </w:rPr>
        <w:t xml:space="preserve"> </w:t>
      </w:r>
      <w:r w:rsidR="002024B4">
        <w:rPr>
          <w:rFonts w:ascii="Tahoma" w:hAnsi="Tahoma" w:cs="Tahoma"/>
          <w:sz w:val="20"/>
          <w:szCs w:val="20"/>
        </w:rPr>
        <w:t>19.541.842/0001-89</w:t>
      </w:r>
      <w:r w:rsidRPr="00051C92">
        <w:rPr>
          <w:rFonts w:ascii="Tahoma" w:hAnsi="Tahoma" w:cs="Tahoma"/>
          <w:sz w:val="20"/>
          <w:szCs w:val="20"/>
        </w:rPr>
        <w:t>, neste ato representado pelo</w:t>
      </w:r>
      <w:r w:rsidR="00C86A0E">
        <w:rPr>
          <w:rFonts w:ascii="Tahoma" w:hAnsi="Tahoma" w:cs="Tahoma"/>
          <w:sz w:val="20"/>
          <w:szCs w:val="20"/>
        </w:rPr>
        <w:t xml:space="preserve"> seu </w:t>
      </w:r>
      <w:r w:rsidR="00457C16">
        <w:rPr>
          <w:rFonts w:ascii="Tahoma" w:hAnsi="Tahoma" w:cs="Tahoma"/>
          <w:sz w:val="20"/>
          <w:szCs w:val="20"/>
        </w:rPr>
        <w:t>Sócio Administrador</w:t>
      </w:r>
      <w:r w:rsidR="00C86A0E">
        <w:rPr>
          <w:rFonts w:ascii="Tahoma" w:hAnsi="Tahoma" w:cs="Tahoma"/>
          <w:sz w:val="20"/>
          <w:szCs w:val="20"/>
        </w:rPr>
        <w:t>,</w:t>
      </w:r>
      <w:r w:rsidR="00C86A0E" w:rsidRPr="002024B4">
        <w:rPr>
          <w:rFonts w:ascii="Tahoma" w:hAnsi="Tahoma" w:cs="Tahoma"/>
          <w:b/>
          <w:sz w:val="20"/>
          <w:szCs w:val="20"/>
        </w:rPr>
        <w:t xml:space="preserve"> </w:t>
      </w:r>
      <w:r w:rsidR="002024B4" w:rsidRPr="002024B4">
        <w:rPr>
          <w:rFonts w:ascii="Tahoma" w:hAnsi="Tahoma" w:cs="Tahoma"/>
          <w:b/>
          <w:sz w:val="20"/>
          <w:szCs w:val="20"/>
        </w:rPr>
        <w:t>GENESIO LANINI FILHO</w:t>
      </w:r>
      <w:r w:rsidRPr="00051C92">
        <w:rPr>
          <w:rFonts w:ascii="Tahoma" w:hAnsi="Tahoma" w:cs="Tahoma"/>
          <w:sz w:val="20"/>
          <w:szCs w:val="20"/>
        </w:rPr>
        <w:t>, inscrito sob CPF/MF n.º</w:t>
      </w:r>
      <w:r w:rsidR="006F6F9F">
        <w:rPr>
          <w:rFonts w:ascii="Tahoma" w:hAnsi="Tahoma" w:cs="Tahoma"/>
          <w:sz w:val="20"/>
          <w:szCs w:val="20"/>
        </w:rPr>
        <w:t xml:space="preserve"> </w:t>
      </w:r>
      <w:r w:rsidR="002024B4">
        <w:rPr>
          <w:rFonts w:ascii="Tahoma" w:hAnsi="Tahoma" w:cs="Tahoma"/>
          <w:sz w:val="20"/>
          <w:szCs w:val="20"/>
        </w:rPr>
        <w:t>049.274.529-30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22AE1" w:rsidRPr="00051C92" w:rsidRDefault="00E22AE1" w:rsidP="00416296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416296">
        <w:rPr>
          <w:rFonts w:ascii="Tahoma" w:hAnsi="Tahoma" w:cs="Tahoma"/>
          <w:b/>
          <w:bCs/>
          <w:sz w:val="20"/>
          <w:szCs w:val="20"/>
          <w:u w:val="single"/>
        </w:rPr>
        <w:t>CLÁUSULA PRIMEIRA - DO OBJETO</w:t>
      </w:r>
      <w:r w:rsidR="00416296" w:rsidRPr="00416296">
        <w:rPr>
          <w:rFonts w:ascii="Tahoma" w:hAnsi="Tahoma" w:cs="Tahoma"/>
          <w:sz w:val="20"/>
          <w:szCs w:val="20"/>
          <w:u w:val="single"/>
        </w:rPr>
        <w:t xml:space="preserve"> </w:t>
      </w:r>
      <w:r w:rsidR="00416296">
        <w:rPr>
          <w:rFonts w:ascii="Tahoma" w:hAnsi="Tahoma" w:cs="Tahoma"/>
          <w:sz w:val="20"/>
          <w:szCs w:val="20"/>
        </w:rPr>
        <w:t>O</w:t>
      </w:r>
      <w:r w:rsidRPr="00051C92">
        <w:rPr>
          <w:rFonts w:ascii="Tahoma" w:hAnsi="Tahoma" w:cs="Tahoma"/>
          <w:sz w:val="20"/>
          <w:szCs w:val="20"/>
        </w:rPr>
        <w:t xml:space="preserve"> presente contrato tem por objeto </w:t>
      </w:r>
      <w:r w:rsidR="00416296" w:rsidRPr="00051C92">
        <w:rPr>
          <w:rFonts w:ascii="Tahoma" w:hAnsi="Tahoma" w:cs="Tahoma"/>
          <w:sz w:val="20"/>
          <w:szCs w:val="20"/>
        </w:rPr>
        <w:t xml:space="preserve">contratação de empresa especializada </w:t>
      </w:r>
      <w:r w:rsidR="00C8695F">
        <w:rPr>
          <w:rFonts w:ascii="Tahoma" w:hAnsi="Tahoma" w:cs="Tahoma"/>
          <w:sz w:val="20"/>
          <w:szCs w:val="20"/>
        </w:rPr>
        <w:t>prestação de serviços de manutenção dos computadores utilizados pela administração municipal</w:t>
      </w:r>
      <w:r w:rsidR="000C1122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obrigando-se 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o fornecimento dos itens constantes nesse instrumento, conforme consta na proposta anexada ao Processo Licitatório Modalidade Pregão Presencial, registrado sob n.º </w:t>
      </w:r>
      <w:r w:rsidR="00465265">
        <w:rPr>
          <w:rFonts w:ascii="Tahoma" w:hAnsi="Tahoma" w:cs="Tahoma"/>
          <w:sz w:val="20"/>
          <w:szCs w:val="20"/>
        </w:rPr>
        <w:t>0</w:t>
      </w:r>
      <w:r w:rsidR="006F6F9F">
        <w:rPr>
          <w:rFonts w:ascii="Tahoma" w:hAnsi="Tahoma" w:cs="Tahoma"/>
          <w:sz w:val="20"/>
          <w:szCs w:val="20"/>
        </w:rPr>
        <w:t>1</w:t>
      </w:r>
      <w:r w:rsidR="001433C4">
        <w:rPr>
          <w:rFonts w:ascii="Tahoma" w:hAnsi="Tahoma" w:cs="Tahoma"/>
          <w:sz w:val="20"/>
          <w:szCs w:val="20"/>
        </w:rPr>
        <w:t>1</w:t>
      </w:r>
      <w:r w:rsidR="00465265">
        <w:rPr>
          <w:rFonts w:ascii="Tahoma" w:hAnsi="Tahoma" w:cs="Tahoma"/>
          <w:sz w:val="20"/>
          <w:szCs w:val="20"/>
        </w:rPr>
        <w:t>/2017</w:t>
      </w:r>
      <w:r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 xml:space="preserve">CLÁUSULA SEGUNDA – DA </w:t>
      </w:r>
      <w:r w:rsidR="002024B4">
        <w:rPr>
          <w:rFonts w:ascii="Tahoma" w:hAnsi="Tahoma" w:cs="Tahoma"/>
          <w:b/>
          <w:sz w:val="20"/>
          <w:szCs w:val="20"/>
          <w:u w:val="single"/>
        </w:rPr>
        <w:t>PRESTAÇÃO DOS SERVIÇOS</w:t>
      </w:r>
    </w:p>
    <w:p w:rsidR="00E22AE1" w:rsidRPr="00051C92" w:rsidRDefault="002024B4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 serviços serão prestados nas repartições públicas onde forem solicitados.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0F6E94">
        <w:rPr>
          <w:rFonts w:ascii="Tahoma" w:hAnsi="Tahoma" w:cs="Tahoma"/>
          <w:b/>
          <w:sz w:val="20"/>
          <w:szCs w:val="20"/>
        </w:rPr>
        <w:t>2</w:t>
      </w:r>
      <w:r w:rsidR="00886468">
        <w:rPr>
          <w:rFonts w:ascii="Tahoma" w:hAnsi="Tahoma" w:cs="Tahoma"/>
          <w:b/>
          <w:sz w:val="20"/>
          <w:szCs w:val="20"/>
        </w:rPr>
        <w:t>2</w:t>
      </w:r>
      <w:r w:rsidR="00975A0D">
        <w:rPr>
          <w:rFonts w:ascii="Tahoma" w:hAnsi="Tahoma" w:cs="Tahoma"/>
          <w:b/>
          <w:sz w:val="20"/>
          <w:szCs w:val="20"/>
        </w:rPr>
        <w:t>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0F6E94">
        <w:rPr>
          <w:rFonts w:ascii="Tahoma" w:hAnsi="Tahoma" w:cs="Tahoma"/>
          <w:b/>
          <w:sz w:val="20"/>
          <w:szCs w:val="20"/>
        </w:rPr>
        <w:t>2</w:t>
      </w:r>
      <w:r w:rsidR="00886468">
        <w:rPr>
          <w:rFonts w:ascii="Tahoma" w:hAnsi="Tahoma" w:cs="Tahoma"/>
          <w:b/>
          <w:sz w:val="20"/>
          <w:szCs w:val="20"/>
        </w:rPr>
        <w:t>2</w:t>
      </w:r>
      <w:r w:rsidR="00975A0D">
        <w:rPr>
          <w:rFonts w:ascii="Tahoma" w:hAnsi="Tahoma" w:cs="Tahoma"/>
          <w:b/>
          <w:sz w:val="20"/>
          <w:szCs w:val="20"/>
        </w:rPr>
        <w:t>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p w:rsidR="008F0E72" w:rsidRDefault="008F0E72" w:rsidP="008F0E7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8F0E72" w:rsidRDefault="008F0E72" w:rsidP="008F0E7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8F0E72" w:rsidRDefault="008F0E72" w:rsidP="008F0E7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LOTE 01 – MANUTENÇÃO DOS EQUIPAMENTOS DE INFORMÁTICA DA ADMINISTRAÇÃO POR UM PERÍODO DE 12 MESES.</w:t>
      </w:r>
    </w:p>
    <w:p w:rsidR="008F0E72" w:rsidRDefault="008F0E72" w:rsidP="008F0E72">
      <w:pPr>
        <w:pStyle w:val="SemEspaamen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F0E72" w:rsidRPr="00A04D38" w:rsidRDefault="008F0E72" w:rsidP="008F0E72">
      <w:pPr>
        <w:pStyle w:val="SemEspaamento"/>
        <w:rPr>
          <w:rFonts w:ascii="Tahoma" w:hAnsi="Tahoma" w:cs="Tahoma"/>
          <w:b/>
          <w:sz w:val="20"/>
          <w:szCs w:val="20"/>
        </w:rPr>
      </w:pPr>
      <w:r w:rsidRPr="00A04D38">
        <w:rPr>
          <w:rFonts w:ascii="Tahoma" w:hAnsi="Tahoma" w:cs="Tahoma"/>
          <w:b/>
          <w:sz w:val="20"/>
          <w:szCs w:val="20"/>
        </w:rPr>
        <w:t xml:space="preserve">VALOR MÁXIMO R$ </w:t>
      </w:r>
      <w:r>
        <w:rPr>
          <w:rFonts w:ascii="Tahoma" w:hAnsi="Tahoma" w:cs="Tahoma"/>
          <w:b/>
          <w:sz w:val="20"/>
          <w:szCs w:val="20"/>
        </w:rPr>
        <w:t>20.220,00</w:t>
      </w:r>
      <w:r w:rsidRPr="00A04D38">
        <w:rPr>
          <w:rFonts w:ascii="Tahoma" w:hAnsi="Tahoma" w:cs="Tahoma"/>
          <w:b/>
          <w:sz w:val="20"/>
          <w:szCs w:val="20"/>
        </w:rPr>
        <w:t xml:space="preserve"> </w:t>
      </w:r>
      <w:r w:rsidRPr="00A04D38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>VINTE MIL E DUZENTOS E VINTE REAIS</w:t>
      </w:r>
      <w:r w:rsidRPr="00A04D38">
        <w:rPr>
          <w:rFonts w:ascii="Tahoma" w:hAnsi="Tahoma" w:cs="Tahoma"/>
          <w:sz w:val="12"/>
          <w:szCs w:val="12"/>
        </w:rPr>
        <w:t>)</w:t>
      </w:r>
    </w:p>
    <w:p w:rsidR="008F0E72" w:rsidRDefault="008F0E72" w:rsidP="008F0E72">
      <w:pPr>
        <w:pStyle w:val="SemEspaamento"/>
        <w:rPr>
          <w:rFonts w:ascii="Tahoma" w:hAnsi="Tahoma" w:cs="Tahoma"/>
          <w:b/>
          <w:sz w:val="18"/>
          <w:szCs w:val="18"/>
        </w:rPr>
      </w:pPr>
    </w:p>
    <w:p w:rsidR="008F0E72" w:rsidRDefault="008F0E72" w:rsidP="008F0E72">
      <w:pPr>
        <w:pStyle w:val="SemEspaamento"/>
        <w:rPr>
          <w:rFonts w:ascii="Tahoma" w:hAnsi="Tahoma" w:cs="Tahoma"/>
          <w:b/>
          <w:sz w:val="18"/>
          <w:szCs w:val="1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97"/>
        <w:gridCol w:w="1104"/>
        <w:gridCol w:w="4962"/>
        <w:gridCol w:w="1417"/>
        <w:gridCol w:w="1418"/>
      </w:tblGrid>
      <w:tr w:rsidR="008F0E72" w:rsidRPr="00FD59D2" w:rsidTr="008F0E72">
        <w:trPr>
          <w:trHeight w:val="2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E72" w:rsidRPr="00FD59D2" w:rsidRDefault="008F0E72" w:rsidP="000A0FD6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lastRenderedPageBreak/>
              <w:t>ITEM</w:t>
            </w:r>
          </w:p>
          <w:p w:rsidR="008F0E72" w:rsidRPr="00FD59D2" w:rsidRDefault="008F0E72" w:rsidP="000A0FD6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E72" w:rsidRPr="00FD59D2" w:rsidRDefault="008F0E72" w:rsidP="000A0FD6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t>QTDE</w:t>
            </w:r>
          </w:p>
          <w:p w:rsidR="008F0E72" w:rsidRPr="00FD59D2" w:rsidRDefault="008F0E72" w:rsidP="000A0FD6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E72" w:rsidRPr="00FD59D2" w:rsidRDefault="008F0E72" w:rsidP="000A0FD6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t>DESCRIÇÃO</w:t>
            </w:r>
          </w:p>
          <w:p w:rsidR="008F0E72" w:rsidRPr="00FD59D2" w:rsidRDefault="008F0E72" w:rsidP="000A0FD6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t>VALOR MENSAL</w:t>
            </w: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t>VALOR TOTAL</w:t>
            </w: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9D2">
              <w:rPr>
                <w:rFonts w:ascii="Tahoma" w:hAnsi="Tahoma" w:cs="Tahoma"/>
                <w:sz w:val="16"/>
                <w:szCs w:val="16"/>
              </w:rPr>
              <w:t>R$.</w:t>
            </w:r>
          </w:p>
        </w:tc>
      </w:tr>
      <w:tr w:rsidR="008F0E72" w:rsidRPr="00FD59D2" w:rsidTr="008F0E72">
        <w:trPr>
          <w:trHeight w:val="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12 MESES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D59D2">
              <w:rPr>
                <w:rFonts w:ascii="Tahoma" w:hAnsi="Tahoma" w:cs="Tahoma"/>
                <w:sz w:val="20"/>
                <w:szCs w:val="20"/>
              </w:rPr>
              <w:t>SERVIÇOS DE MANUTENÇÃO PREVENTIVA E CORRETIVA DE EQUIPAMENTOS DE INFORMÁTICA, INSTALAÇÕES DE SOFTWARE, SUPORTE</w:t>
            </w:r>
            <w:proofErr w:type="gramEnd"/>
            <w:r w:rsidRPr="00FD59D2">
              <w:rPr>
                <w:rFonts w:ascii="Tahoma" w:hAnsi="Tahoma" w:cs="Tahoma"/>
                <w:sz w:val="20"/>
                <w:szCs w:val="20"/>
              </w:rPr>
              <w:t xml:space="preserve"> A REDE E SUPORTE TÉCNICO QUANDO NECESSÁRIO. MANUTENÇÃO PREVENTIVA E CORRETIVA NOS EQUIPAMENTOS DE INFORMÁTICA COMPREENDERÁ: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A) FORMATAÇÃO DE COMPUTADORES E POSTERIOR REINSTALAÇÃO DE SOFTWARES</w:t>
            </w:r>
            <w:proofErr w:type="gramStart"/>
            <w:r w:rsidRPr="00FD59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D59D2">
              <w:rPr>
                <w:rFonts w:ascii="Tahoma" w:hAnsi="Tahoma" w:cs="Tahoma"/>
                <w:sz w:val="20"/>
                <w:szCs w:val="20"/>
              </w:rPr>
              <w:t xml:space="preserve">NECESSÁRIOS; 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B) SUBSTITUIÇÃO DE PEÇAS, AS QUAIS SOMENTE SERÃO EXECUTADAS APÓS AUTORIZAÇÃO EMITIDA ATRAVÉS DE PRÉVIO ORÇAMENTO APRESENTADO;                                                                               C) REMOÇÃO DE</w:t>
            </w:r>
            <w:proofErr w:type="gramStart"/>
            <w:r w:rsidRPr="00FD59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D59D2">
              <w:rPr>
                <w:rFonts w:ascii="Tahoma" w:hAnsi="Tahoma" w:cs="Tahoma"/>
                <w:sz w:val="20"/>
                <w:szCs w:val="20"/>
              </w:rPr>
              <w:t>VÍRUS ;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D)</w:t>
            </w:r>
            <w:proofErr w:type="gramStart"/>
            <w:r w:rsidRPr="00FD59D2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FD59D2">
              <w:rPr>
                <w:rFonts w:ascii="Tahoma" w:hAnsi="Tahoma" w:cs="Tahoma"/>
                <w:sz w:val="20"/>
                <w:szCs w:val="20"/>
              </w:rPr>
              <w:t>CABEAMENTO E INSTALAÇÃO DA PARTE FÍSICA DA REDE INTERNA, QUANDO SE FAÇA NECESSÁRIO ;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E) CABEAMENTO, COMPARTILHAMENTO E INSTALAÇÃO DE IMPRESSORAS E PERIFÉRICOS, CONFORME NECESSIDADE;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 xml:space="preserve">F) CONFIGURAÇÃO DOS SISTEMAS UTILIZADOS PELA ADMINISTRAÇÃO E SUAS REFERIDAS ATUALIZAÇÕES, QUANDO NECESSÁRIO;            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 xml:space="preserve">G) CONFIGURAÇÕES NECESSÁRIAS PARA ACESSO AOS SITES QUE O MUNICÍPIO NECESSITE OBTER OU REPASSAR INFORMAÇÕES E </w:t>
            </w:r>
            <w:proofErr w:type="gramStart"/>
            <w:r w:rsidRPr="00FD59D2">
              <w:rPr>
                <w:rFonts w:ascii="Tahoma" w:hAnsi="Tahoma" w:cs="Tahoma"/>
                <w:sz w:val="20"/>
                <w:szCs w:val="20"/>
              </w:rPr>
              <w:t>DADOS ;</w:t>
            </w:r>
            <w:proofErr w:type="gramEnd"/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H) DOWLOADS NECESSÁRIOS;</w:t>
            </w:r>
          </w:p>
          <w:p w:rsidR="008F0E72" w:rsidRPr="00FD59D2" w:rsidRDefault="008F0E72" w:rsidP="000A0FD6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59D2">
              <w:rPr>
                <w:rFonts w:ascii="Tahoma" w:hAnsi="Tahoma" w:cs="Tahoma"/>
                <w:sz w:val="20"/>
                <w:szCs w:val="20"/>
              </w:rPr>
              <w:t>I) OS CONCERTOS OBJETO DESSA LICITAÇÃO COMPREENDEM: MONITORES. CPUS, ESTABILIZADORES, NO-BREAKS, MODEM SWITCH, IMPRESSORAS</w:t>
            </w:r>
            <w:proofErr w:type="gramStart"/>
            <w:r w:rsidRPr="00FD59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D59D2">
              <w:rPr>
                <w:rFonts w:ascii="Tahoma" w:hAnsi="Tahoma" w:cs="Tahoma"/>
                <w:sz w:val="20"/>
                <w:szCs w:val="20"/>
              </w:rPr>
              <w:t>E DEMAIS PERIFÉRICOS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7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0E7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R$ 1.685,00</w:t>
            </w: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2" w:rsidRPr="00FD59D2" w:rsidRDefault="008F0E72" w:rsidP="008F0E72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R$ 20.220,00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lastRenderedPageBreak/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C360D4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E22AE1" w:rsidRPr="00051C92">
        <w:rPr>
          <w:rFonts w:ascii="Tahoma" w:hAnsi="Tahoma" w:cs="Tahoma"/>
          <w:sz w:val="20"/>
          <w:szCs w:val="20"/>
        </w:rPr>
        <w:t>) Substituir imediatamente os produtos que se apresentarem fora das especificações técnicas;</w:t>
      </w:r>
    </w:p>
    <w:p w:rsidR="00E22AE1" w:rsidRPr="00051C92" w:rsidRDefault="00C360D4" w:rsidP="00C360D4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22AE1" w:rsidRPr="00051C92">
        <w:rPr>
          <w:rFonts w:ascii="Tahoma" w:hAnsi="Tahoma" w:cs="Tahoma"/>
          <w:sz w:val="20"/>
          <w:szCs w:val="20"/>
        </w:rPr>
        <w:t>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Independentemente de transcrição, farão parte integrante deste instrumento de Contrato o Edital de Licitação - Modalidade Pregão Presencial nº </w:t>
      </w:r>
      <w:r w:rsidR="006F6F9F">
        <w:rPr>
          <w:rFonts w:ascii="Tahoma" w:hAnsi="Tahoma" w:cs="Tahoma"/>
          <w:sz w:val="20"/>
          <w:szCs w:val="20"/>
        </w:rPr>
        <w:t>01</w:t>
      </w:r>
      <w:r w:rsidR="001433C4">
        <w:rPr>
          <w:rFonts w:ascii="Tahoma" w:hAnsi="Tahoma" w:cs="Tahoma"/>
          <w:sz w:val="20"/>
          <w:szCs w:val="20"/>
        </w:rPr>
        <w:t>1</w:t>
      </w:r>
      <w:r w:rsidR="006F6F9F">
        <w:rPr>
          <w:rFonts w:ascii="Tahoma" w:hAnsi="Tahoma" w:cs="Tahoma"/>
          <w:sz w:val="20"/>
          <w:szCs w:val="20"/>
        </w:rPr>
        <w:t>/</w:t>
      </w:r>
      <w:r w:rsidRPr="00051C92">
        <w:rPr>
          <w:rFonts w:ascii="Tahoma" w:hAnsi="Tahoma" w:cs="Tahoma"/>
          <w:sz w:val="20"/>
          <w:szCs w:val="20"/>
        </w:rPr>
        <w:t>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8F0E72" w:rsidRDefault="008F0E72" w:rsidP="00975A0D">
      <w:pPr>
        <w:pStyle w:val="Ttulo"/>
        <w:jc w:val="right"/>
        <w:rPr>
          <w:rFonts w:ascii="Tahoma" w:hAnsi="Tahoma" w:cs="Tahoma"/>
          <w:b w:val="0"/>
          <w:sz w:val="20"/>
        </w:rPr>
      </w:pPr>
    </w:p>
    <w:p w:rsidR="008F0E72" w:rsidRDefault="008F0E72" w:rsidP="00975A0D">
      <w:pPr>
        <w:pStyle w:val="Ttulo"/>
        <w:jc w:val="right"/>
        <w:rPr>
          <w:rFonts w:ascii="Tahoma" w:hAnsi="Tahoma" w:cs="Tahoma"/>
          <w:b w:val="0"/>
          <w:sz w:val="20"/>
        </w:rPr>
      </w:pPr>
    </w:p>
    <w:p w:rsidR="008F0E72" w:rsidRDefault="008F0E72" w:rsidP="00975A0D">
      <w:pPr>
        <w:pStyle w:val="Ttulo"/>
        <w:jc w:val="right"/>
        <w:rPr>
          <w:rFonts w:ascii="Tahoma" w:hAnsi="Tahoma" w:cs="Tahoma"/>
          <w:b w:val="0"/>
          <w:sz w:val="20"/>
        </w:rPr>
      </w:pPr>
    </w:p>
    <w:p w:rsidR="008F0E72" w:rsidRDefault="008F0E72" w:rsidP="00975A0D">
      <w:pPr>
        <w:pStyle w:val="Ttulo"/>
        <w:jc w:val="right"/>
        <w:rPr>
          <w:rFonts w:ascii="Tahoma" w:hAnsi="Tahoma" w:cs="Tahoma"/>
          <w:b w:val="0"/>
          <w:sz w:val="20"/>
        </w:rPr>
      </w:pPr>
    </w:p>
    <w:p w:rsidR="008F0E72" w:rsidRDefault="008F0E72" w:rsidP="00975A0D">
      <w:pPr>
        <w:pStyle w:val="Ttulo"/>
        <w:jc w:val="right"/>
        <w:rPr>
          <w:rFonts w:ascii="Tahoma" w:hAnsi="Tahoma" w:cs="Tahoma"/>
          <w:b w:val="0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lastRenderedPageBreak/>
        <w:t xml:space="preserve">Ribeirão do Pinhal, </w:t>
      </w:r>
      <w:r w:rsidR="005B53CE">
        <w:rPr>
          <w:rFonts w:ascii="Tahoma" w:hAnsi="Tahoma" w:cs="Tahoma"/>
          <w:b w:val="0"/>
          <w:sz w:val="20"/>
        </w:rPr>
        <w:t>2</w:t>
      </w:r>
      <w:r w:rsidR="00886468">
        <w:rPr>
          <w:rFonts w:ascii="Tahoma" w:hAnsi="Tahoma" w:cs="Tahoma"/>
          <w:b w:val="0"/>
          <w:sz w:val="20"/>
        </w:rPr>
        <w:t>2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750532" w:rsidRDefault="00750532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86468" w:rsidRPr="00051C92" w:rsidRDefault="0088646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FB7E2D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GENESIO LANINI FILHO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F0E72" w:rsidRDefault="008F0E72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86468" w:rsidRDefault="0088646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886468">
      <w:pPr>
        <w:pStyle w:val="SemEspaamento"/>
        <w:rPr>
          <w:rFonts w:ascii="Tahoma" w:hAnsi="Tahoma" w:cs="Tahoma"/>
          <w:sz w:val="20"/>
          <w:szCs w:val="20"/>
        </w:rPr>
      </w:pPr>
    </w:p>
    <w:sectPr w:rsidR="0022466E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41" w:rsidRDefault="00B13F41" w:rsidP="00EE334E">
      <w:pPr>
        <w:spacing w:after="0" w:line="240" w:lineRule="auto"/>
      </w:pPr>
      <w:r>
        <w:separator/>
      </w:r>
    </w:p>
  </w:endnote>
  <w:endnote w:type="continuationSeparator" w:id="0">
    <w:p w:rsidR="00B13F41" w:rsidRDefault="00B13F41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B13F41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41" w:rsidRDefault="00B13F41" w:rsidP="00EE334E">
      <w:pPr>
        <w:spacing w:after="0" w:line="240" w:lineRule="auto"/>
      </w:pPr>
      <w:r>
        <w:separator/>
      </w:r>
    </w:p>
  </w:footnote>
  <w:footnote w:type="continuationSeparator" w:id="0">
    <w:p w:rsidR="00B13F41" w:rsidRDefault="00B13F41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2E1482">
    <w:pPr>
      <w:pStyle w:val="Cabealho"/>
      <w:jc w:val="center"/>
      <w:rPr>
        <w:rFonts w:ascii="Century" w:hAnsi="Century"/>
        <w:i/>
        <w:sz w:val="32"/>
      </w:rPr>
    </w:pPr>
    <w:r w:rsidRPr="002E148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B13F41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17817"/>
    <w:rsid w:val="00051C92"/>
    <w:rsid w:val="00051CED"/>
    <w:rsid w:val="00092B63"/>
    <w:rsid w:val="000C1122"/>
    <w:rsid w:val="000E59AE"/>
    <w:rsid w:val="000F6E94"/>
    <w:rsid w:val="0010184C"/>
    <w:rsid w:val="001433C4"/>
    <w:rsid w:val="001B7B48"/>
    <w:rsid w:val="002024B4"/>
    <w:rsid w:val="0022466E"/>
    <w:rsid w:val="00260754"/>
    <w:rsid w:val="002633B2"/>
    <w:rsid w:val="00281238"/>
    <w:rsid w:val="002837ED"/>
    <w:rsid w:val="002D37D2"/>
    <w:rsid w:val="002E1482"/>
    <w:rsid w:val="002F4F30"/>
    <w:rsid w:val="002F5771"/>
    <w:rsid w:val="00301B8E"/>
    <w:rsid w:val="003338FA"/>
    <w:rsid w:val="00373650"/>
    <w:rsid w:val="00374EAF"/>
    <w:rsid w:val="003D2CD8"/>
    <w:rsid w:val="00416296"/>
    <w:rsid w:val="00444925"/>
    <w:rsid w:val="00457C16"/>
    <w:rsid w:val="00465265"/>
    <w:rsid w:val="004A0210"/>
    <w:rsid w:val="004A75E8"/>
    <w:rsid w:val="005461CB"/>
    <w:rsid w:val="0057178D"/>
    <w:rsid w:val="005B019B"/>
    <w:rsid w:val="005B53CE"/>
    <w:rsid w:val="005C5F64"/>
    <w:rsid w:val="005D58FC"/>
    <w:rsid w:val="00604862"/>
    <w:rsid w:val="0064190F"/>
    <w:rsid w:val="00645C52"/>
    <w:rsid w:val="006F2181"/>
    <w:rsid w:val="006F6F9F"/>
    <w:rsid w:val="007053E8"/>
    <w:rsid w:val="00721630"/>
    <w:rsid w:val="00750532"/>
    <w:rsid w:val="0075536E"/>
    <w:rsid w:val="0079344F"/>
    <w:rsid w:val="007D280A"/>
    <w:rsid w:val="00857E82"/>
    <w:rsid w:val="00886468"/>
    <w:rsid w:val="00887B93"/>
    <w:rsid w:val="008E5194"/>
    <w:rsid w:val="008F0E72"/>
    <w:rsid w:val="00975A0D"/>
    <w:rsid w:val="009B3BE0"/>
    <w:rsid w:val="009B4B43"/>
    <w:rsid w:val="009D0573"/>
    <w:rsid w:val="00A46DFD"/>
    <w:rsid w:val="00A65AE3"/>
    <w:rsid w:val="00AD5FD3"/>
    <w:rsid w:val="00AE3D2C"/>
    <w:rsid w:val="00AE44D9"/>
    <w:rsid w:val="00B13F41"/>
    <w:rsid w:val="00B64802"/>
    <w:rsid w:val="00B92A22"/>
    <w:rsid w:val="00BC1B3A"/>
    <w:rsid w:val="00C360D4"/>
    <w:rsid w:val="00C440A7"/>
    <w:rsid w:val="00C8695F"/>
    <w:rsid w:val="00C86A0E"/>
    <w:rsid w:val="00CA3224"/>
    <w:rsid w:val="00D32EE7"/>
    <w:rsid w:val="00DB21AF"/>
    <w:rsid w:val="00DD2D53"/>
    <w:rsid w:val="00DE3234"/>
    <w:rsid w:val="00DF33E2"/>
    <w:rsid w:val="00E01F23"/>
    <w:rsid w:val="00E22AE1"/>
    <w:rsid w:val="00E927F8"/>
    <w:rsid w:val="00EC6EE3"/>
    <w:rsid w:val="00ED6707"/>
    <w:rsid w:val="00EE334E"/>
    <w:rsid w:val="00EF146B"/>
    <w:rsid w:val="00F65FD6"/>
    <w:rsid w:val="00FB1FF0"/>
    <w:rsid w:val="00FB7E2D"/>
    <w:rsid w:val="00FC64B6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5</cp:revision>
  <cp:lastPrinted>2017-03-22T18:38:00Z</cp:lastPrinted>
  <dcterms:created xsi:type="dcterms:W3CDTF">2017-03-22T18:26:00Z</dcterms:created>
  <dcterms:modified xsi:type="dcterms:W3CDTF">2017-03-22T18:42:00Z</dcterms:modified>
</cp:coreProperties>
</file>